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FB0" w:rsidRDefault="00C44FB0" w:rsidP="00C44FB0">
      <w:pPr>
        <w:pStyle w:val="Default"/>
      </w:pPr>
      <w:bookmarkStart w:id="0" w:name="_GoBack"/>
      <w:bookmarkEnd w:id="0"/>
    </w:p>
    <w:p w:rsidR="00B365F7" w:rsidRDefault="00C44FB0" w:rsidP="00C44FB0">
      <w:pPr>
        <w:pStyle w:val="Title"/>
      </w:pPr>
      <w:r>
        <w:t>Supplier Cost of Non-Quality</w:t>
      </w:r>
    </w:p>
    <w:p w:rsidR="00C44FB0" w:rsidRDefault="00C44FB0" w:rsidP="00C44FB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Introduction </w:t>
      </w:r>
    </w:p>
    <w:p w:rsidR="00C44FB0" w:rsidRDefault="00B912E5" w:rsidP="00C44FB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Our</w:t>
      </w:r>
      <w:r w:rsidR="00C44FB0">
        <w:rPr>
          <w:sz w:val="22"/>
          <w:szCs w:val="22"/>
        </w:rPr>
        <w:t xml:space="preserve"> agreement</w:t>
      </w:r>
      <w:r>
        <w:rPr>
          <w:sz w:val="22"/>
          <w:szCs w:val="22"/>
        </w:rPr>
        <w:t>s with</w:t>
      </w:r>
      <w:r w:rsidR="00C44FB0">
        <w:rPr>
          <w:sz w:val="22"/>
          <w:szCs w:val="22"/>
        </w:rPr>
        <w:t xml:space="preserve"> supplier</w:t>
      </w:r>
      <w:r>
        <w:rPr>
          <w:sz w:val="22"/>
          <w:szCs w:val="22"/>
        </w:rPr>
        <w:t>s</w:t>
      </w:r>
      <w:r w:rsidR="00C44FB0">
        <w:rPr>
          <w:sz w:val="22"/>
          <w:szCs w:val="22"/>
        </w:rPr>
        <w:t xml:space="preserve"> for the purchase and supply of products/services</w:t>
      </w:r>
      <w:r>
        <w:rPr>
          <w:sz w:val="22"/>
          <w:szCs w:val="22"/>
        </w:rPr>
        <w:t xml:space="preserve"> is based</w:t>
      </w:r>
      <w:r w:rsidR="00C44FB0">
        <w:rPr>
          <w:sz w:val="22"/>
          <w:szCs w:val="22"/>
        </w:rPr>
        <w:t xml:space="preserve"> on the premise that such products/services will fully conform to all the applicable quality and warranty requirements stated in the applicable agreement. </w:t>
      </w:r>
    </w:p>
    <w:p w:rsidR="00C44FB0" w:rsidRDefault="00C44FB0" w:rsidP="00C44FB0">
      <w:pPr>
        <w:pStyle w:val="Default"/>
        <w:rPr>
          <w:sz w:val="22"/>
          <w:szCs w:val="22"/>
        </w:rPr>
      </w:pPr>
    </w:p>
    <w:p w:rsidR="00C44FB0" w:rsidRDefault="00C44FB0" w:rsidP="00C44FB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Wi</w:t>
      </w:r>
      <w:r w:rsidR="00B912E5">
        <w:rPr>
          <w:sz w:val="22"/>
          <w:szCs w:val="22"/>
        </w:rPr>
        <w:t>thout prejudice to our</w:t>
      </w:r>
      <w:r>
        <w:rPr>
          <w:sz w:val="22"/>
          <w:szCs w:val="22"/>
        </w:rPr>
        <w:t xml:space="preserve"> other rights and remedies (whether in contract or at law), for every occurrence of the following quality issues listed below (under the headin</w:t>
      </w:r>
      <w:r w:rsidR="00B912E5">
        <w:rPr>
          <w:sz w:val="22"/>
          <w:szCs w:val="22"/>
        </w:rPr>
        <w:t>g of ‘Description’), we will exercise our</w:t>
      </w:r>
      <w:r>
        <w:rPr>
          <w:sz w:val="22"/>
          <w:szCs w:val="22"/>
        </w:rPr>
        <w:t xml:space="preserve"> contractual right to charge the supplier an administrative charge in the amounts stated in th</w:t>
      </w:r>
      <w:r w:rsidR="00B912E5">
        <w:rPr>
          <w:sz w:val="22"/>
          <w:szCs w:val="22"/>
        </w:rPr>
        <w:t>e below table, which we</w:t>
      </w:r>
      <w:r>
        <w:rPr>
          <w:sz w:val="22"/>
          <w:szCs w:val="22"/>
        </w:rPr>
        <w:t xml:space="preserve"> may deduct from any payments due to the Su</w:t>
      </w:r>
      <w:r w:rsidR="00B912E5">
        <w:rPr>
          <w:sz w:val="22"/>
          <w:szCs w:val="22"/>
        </w:rPr>
        <w:t xml:space="preserve">pplier to compensate for </w:t>
      </w:r>
      <w:r>
        <w:rPr>
          <w:sz w:val="22"/>
          <w:szCs w:val="22"/>
        </w:rPr>
        <w:t xml:space="preserve">internal administration costs only associated with such quality incident. </w:t>
      </w:r>
    </w:p>
    <w:p w:rsidR="00C44FB0" w:rsidRDefault="00C44FB0" w:rsidP="00C44FB0">
      <w:pPr>
        <w:pStyle w:val="Default"/>
        <w:rPr>
          <w:sz w:val="22"/>
          <w:szCs w:val="22"/>
        </w:rPr>
      </w:pPr>
    </w:p>
    <w:p w:rsidR="00C44FB0" w:rsidRDefault="00C44FB0" w:rsidP="00C44FB0">
      <w:pPr>
        <w:pStyle w:val="Default"/>
        <w:rPr>
          <w:sz w:val="22"/>
          <w:szCs w:val="22"/>
        </w:rPr>
      </w:pPr>
    </w:p>
    <w:p w:rsidR="00C44FB0" w:rsidRDefault="00C44FB0" w:rsidP="00C44FB0">
      <w:pPr>
        <w:pStyle w:val="Default"/>
        <w:rPr>
          <w:sz w:val="22"/>
          <w:szCs w:val="22"/>
        </w:rPr>
      </w:pPr>
    </w:p>
    <w:p w:rsidR="00C44FB0" w:rsidRDefault="00C44FB0" w:rsidP="00C44FB0">
      <w:pPr>
        <w:pStyle w:val="Default"/>
        <w:rPr>
          <w:sz w:val="22"/>
          <w:szCs w:val="22"/>
        </w:rPr>
      </w:pPr>
    </w:p>
    <w:p w:rsidR="00C44FB0" w:rsidRDefault="00C44FB0" w:rsidP="00C44FB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Description </w:t>
      </w:r>
    </w:p>
    <w:p w:rsidR="00C44FB0" w:rsidRDefault="00C44FB0" w:rsidP="00C44FB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The internal administratio</w:t>
      </w:r>
      <w:r w:rsidR="00B912E5">
        <w:rPr>
          <w:sz w:val="22"/>
          <w:szCs w:val="22"/>
        </w:rPr>
        <w:t xml:space="preserve">n costs incurred by </w:t>
      </w:r>
      <w:r>
        <w:rPr>
          <w:sz w:val="22"/>
          <w:szCs w:val="22"/>
        </w:rPr>
        <w:t>comprise of the associated processing and technical asse</w:t>
      </w:r>
      <w:r w:rsidR="00B912E5">
        <w:rPr>
          <w:sz w:val="22"/>
          <w:szCs w:val="22"/>
        </w:rPr>
        <w:t>ssment undertaken</w:t>
      </w:r>
      <w:r>
        <w:rPr>
          <w:sz w:val="22"/>
          <w:szCs w:val="22"/>
        </w:rPr>
        <w:t xml:space="preserve"> due to the occurrence of the following quality issues:</w:t>
      </w:r>
    </w:p>
    <w:p w:rsidR="00C44FB0" w:rsidRDefault="00C44FB0" w:rsidP="00C44FB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44FB0" w:rsidRDefault="00C44FB0" w:rsidP="00C44FB0">
      <w:pPr>
        <w:pStyle w:val="Default"/>
        <w:numPr>
          <w:ilvl w:val="0"/>
          <w:numId w:val="1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Rejects at receipt </w:t>
      </w:r>
    </w:p>
    <w:p w:rsidR="00C44FB0" w:rsidRDefault="00C44FB0" w:rsidP="00C44FB0">
      <w:pPr>
        <w:pStyle w:val="Default"/>
        <w:numPr>
          <w:ilvl w:val="0"/>
          <w:numId w:val="1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Concessions </w:t>
      </w:r>
    </w:p>
    <w:p w:rsidR="00C44FB0" w:rsidRDefault="00C44FB0" w:rsidP="00C44FB0">
      <w:pPr>
        <w:pStyle w:val="Default"/>
        <w:numPr>
          <w:ilvl w:val="0"/>
          <w:numId w:val="1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Rejects as a result of complaints </w:t>
      </w:r>
    </w:p>
    <w:p w:rsidR="00C44FB0" w:rsidRDefault="00C44FB0" w:rsidP="00C44FB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Rejects a s a result of customer/operator complaints </w:t>
      </w:r>
    </w:p>
    <w:p w:rsidR="00C44FB0" w:rsidRDefault="00C44FB0" w:rsidP="00C44FB0">
      <w:pPr>
        <w:pStyle w:val="Default"/>
        <w:rPr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2982"/>
      </w:tblGrid>
      <w:tr w:rsidR="00C44FB0" w:rsidTr="00C44FB0">
        <w:trPr>
          <w:trHeight w:val="103"/>
        </w:trPr>
        <w:tc>
          <w:tcPr>
            <w:tcW w:w="5353" w:type="dxa"/>
          </w:tcPr>
          <w:p w:rsidR="00C44FB0" w:rsidRDefault="00C44FB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Global standard charges (US dollars)</w:t>
            </w:r>
          </w:p>
          <w:p w:rsidR="00C44FB0" w:rsidRDefault="00C44F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Rejects as a result of concessions: </w:t>
            </w:r>
          </w:p>
        </w:tc>
        <w:tc>
          <w:tcPr>
            <w:tcW w:w="2982" w:type="dxa"/>
          </w:tcPr>
          <w:p w:rsidR="00C44FB0" w:rsidRDefault="00C44FB0">
            <w:pPr>
              <w:pStyle w:val="Default"/>
              <w:rPr>
                <w:sz w:val="22"/>
                <w:szCs w:val="22"/>
              </w:rPr>
            </w:pPr>
          </w:p>
          <w:p w:rsidR="00C44FB0" w:rsidRDefault="00C44F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$500</w:t>
            </w:r>
          </w:p>
        </w:tc>
      </w:tr>
      <w:tr w:rsidR="00C44FB0" w:rsidTr="00C44FB0">
        <w:trPr>
          <w:trHeight w:val="103"/>
        </w:trPr>
        <w:tc>
          <w:tcPr>
            <w:tcW w:w="5353" w:type="dxa"/>
          </w:tcPr>
          <w:p w:rsidR="00C44FB0" w:rsidRDefault="00C44F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Rejects at receipt: </w:t>
            </w:r>
          </w:p>
        </w:tc>
        <w:tc>
          <w:tcPr>
            <w:tcW w:w="2982" w:type="dxa"/>
          </w:tcPr>
          <w:p w:rsidR="00C44FB0" w:rsidRDefault="00C44F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$700 </w:t>
            </w:r>
          </w:p>
        </w:tc>
      </w:tr>
      <w:tr w:rsidR="00C44FB0" w:rsidTr="00C44FB0">
        <w:trPr>
          <w:trHeight w:val="103"/>
        </w:trPr>
        <w:tc>
          <w:tcPr>
            <w:tcW w:w="5353" w:type="dxa"/>
          </w:tcPr>
          <w:p w:rsidR="00C44FB0" w:rsidRDefault="00C44F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Rejects as a result of assembly/test complaints: </w:t>
            </w:r>
          </w:p>
        </w:tc>
        <w:tc>
          <w:tcPr>
            <w:tcW w:w="2982" w:type="dxa"/>
          </w:tcPr>
          <w:p w:rsidR="00C44FB0" w:rsidRDefault="00C44F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$900 </w:t>
            </w:r>
          </w:p>
        </w:tc>
      </w:tr>
      <w:tr w:rsidR="00C44FB0" w:rsidTr="00C44FB0">
        <w:trPr>
          <w:trHeight w:val="103"/>
        </w:trPr>
        <w:tc>
          <w:tcPr>
            <w:tcW w:w="5353" w:type="dxa"/>
          </w:tcPr>
          <w:p w:rsidR="00C44FB0" w:rsidRDefault="00C44F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Rejects as a result of customer/operator complaints: </w:t>
            </w:r>
          </w:p>
        </w:tc>
        <w:tc>
          <w:tcPr>
            <w:tcW w:w="2982" w:type="dxa"/>
          </w:tcPr>
          <w:p w:rsidR="00C44FB0" w:rsidRDefault="00C44F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$1500 </w:t>
            </w:r>
          </w:p>
        </w:tc>
      </w:tr>
    </w:tbl>
    <w:p w:rsidR="00591EE5" w:rsidRDefault="00591EE5"/>
    <w:p w:rsidR="00C44FB0" w:rsidRDefault="00C44FB0" w:rsidP="00C44FB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The administrative charges noted above are a good faith estimate of the internal administrat</w:t>
      </w:r>
      <w:r w:rsidR="00B912E5">
        <w:rPr>
          <w:sz w:val="22"/>
          <w:szCs w:val="22"/>
        </w:rPr>
        <w:t>ion costs suffered,</w:t>
      </w:r>
      <w:r>
        <w:rPr>
          <w:sz w:val="22"/>
          <w:szCs w:val="22"/>
        </w:rPr>
        <w:t xml:space="preserve"> and are not penalties resulting from the relevant quality incidents. </w:t>
      </w:r>
    </w:p>
    <w:p w:rsidR="00C44FB0" w:rsidRPr="00B912E5" w:rsidRDefault="00C44FB0" w:rsidP="00C44FB0">
      <w:pPr>
        <w:rPr>
          <w:iCs/>
        </w:rPr>
      </w:pPr>
    </w:p>
    <w:p w:rsidR="00B912E5" w:rsidRDefault="00B912E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665AF" w:rsidRPr="002665AF" w:rsidRDefault="002665AF" w:rsidP="002665AF">
      <w:pPr>
        <w:rPr>
          <w:i/>
          <w:iCs/>
        </w:rPr>
      </w:pPr>
      <w:r w:rsidRPr="00F00EFF">
        <w:rPr>
          <w:rFonts w:ascii="Arial" w:hAnsi="Arial" w:cs="Arial"/>
        </w:rPr>
        <w:lastRenderedPageBreak/>
        <w:t>Version Control</w:t>
      </w:r>
      <w:r>
        <w:rPr>
          <w:rFonts w:ascii="Arial" w:hAnsi="Arial" w:cs="Arial"/>
        </w:rPr>
        <w:t xml:space="preserve"> </w:t>
      </w:r>
    </w:p>
    <w:tbl>
      <w:tblPr>
        <w:tblW w:w="11023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8"/>
        <w:gridCol w:w="1524"/>
        <w:gridCol w:w="3878"/>
        <w:gridCol w:w="4303"/>
      </w:tblGrid>
      <w:tr w:rsidR="00B365F7" w:rsidRPr="00F00EFF" w:rsidTr="002665AF">
        <w:trPr>
          <w:trHeight w:val="247"/>
        </w:trPr>
        <w:tc>
          <w:tcPr>
            <w:tcW w:w="0" w:type="auto"/>
            <w:shd w:val="clear" w:color="auto" w:fill="606060"/>
            <w:vAlign w:val="center"/>
          </w:tcPr>
          <w:p w:rsidR="002665AF" w:rsidRPr="00F00EFF" w:rsidRDefault="002665AF" w:rsidP="00E31B1B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F00EFF">
              <w:rPr>
                <w:rFonts w:ascii="Arial" w:hAnsi="Arial" w:cs="Arial"/>
                <w:b/>
                <w:bCs/>
                <w:color w:val="FFFFFF"/>
              </w:rPr>
              <w:t>Date</w:t>
            </w:r>
          </w:p>
        </w:tc>
        <w:tc>
          <w:tcPr>
            <w:tcW w:w="0" w:type="auto"/>
            <w:shd w:val="clear" w:color="auto" w:fill="606060"/>
            <w:vAlign w:val="center"/>
          </w:tcPr>
          <w:p w:rsidR="002665AF" w:rsidRPr="00F00EFF" w:rsidRDefault="002665AF" w:rsidP="00E31B1B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F00EFF">
              <w:rPr>
                <w:rFonts w:ascii="Arial" w:hAnsi="Arial" w:cs="Arial"/>
                <w:b/>
                <w:bCs/>
                <w:color w:val="FFFFFF"/>
              </w:rPr>
              <w:t>Amended by</w:t>
            </w:r>
          </w:p>
        </w:tc>
        <w:tc>
          <w:tcPr>
            <w:tcW w:w="0" w:type="auto"/>
            <w:shd w:val="clear" w:color="auto" w:fill="606060"/>
            <w:vAlign w:val="center"/>
          </w:tcPr>
          <w:p w:rsidR="002665AF" w:rsidRPr="00F00EFF" w:rsidRDefault="002665AF" w:rsidP="00E31B1B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F00EFF">
              <w:rPr>
                <w:rFonts w:ascii="Arial" w:hAnsi="Arial" w:cs="Arial"/>
                <w:b/>
                <w:bCs/>
                <w:color w:val="FFFFFF"/>
              </w:rPr>
              <w:t>Summary of Change</w:t>
            </w:r>
          </w:p>
        </w:tc>
        <w:tc>
          <w:tcPr>
            <w:tcW w:w="4303" w:type="dxa"/>
            <w:shd w:val="clear" w:color="auto" w:fill="606060"/>
            <w:vAlign w:val="center"/>
          </w:tcPr>
          <w:p w:rsidR="002665AF" w:rsidRPr="00F00EFF" w:rsidRDefault="002665AF" w:rsidP="00E31B1B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F00EFF">
              <w:rPr>
                <w:rFonts w:ascii="Arial" w:hAnsi="Arial" w:cs="Arial"/>
                <w:b/>
                <w:bCs/>
                <w:color w:val="FFFFFF"/>
              </w:rPr>
              <w:t>New Version Number</w:t>
            </w:r>
          </w:p>
        </w:tc>
      </w:tr>
      <w:tr w:rsidR="00B365F7" w:rsidRPr="00F00EFF" w:rsidTr="002665AF">
        <w:trPr>
          <w:trHeight w:val="269"/>
        </w:trPr>
        <w:tc>
          <w:tcPr>
            <w:tcW w:w="0" w:type="auto"/>
            <w:vAlign w:val="center"/>
          </w:tcPr>
          <w:p w:rsidR="002665AF" w:rsidRPr="00F00EFF" w:rsidRDefault="002665AF" w:rsidP="00E31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15/08/2014</w:t>
            </w:r>
          </w:p>
        </w:tc>
        <w:tc>
          <w:tcPr>
            <w:tcW w:w="0" w:type="auto"/>
            <w:vAlign w:val="center"/>
          </w:tcPr>
          <w:p w:rsidR="002665AF" w:rsidRPr="00F00EFF" w:rsidRDefault="002665AF" w:rsidP="00E31B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665AF" w:rsidRPr="00F00EFF" w:rsidRDefault="002665AF" w:rsidP="00B912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Initial Issue</w:t>
            </w:r>
          </w:p>
        </w:tc>
        <w:tc>
          <w:tcPr>
            <w:tcW w:w="4303" w:type="dxa"/>
            <w:vAlign w:val="center"/>
          </w:tcPr>
          <w:p w:rsidR="002665AF" w:rsidRPr="00F00EFF" w:rsidRDefault="002665AF" w:rsidP="00E31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365F7" w:rsidRPr="00F00EFF" w:rsidTr="002665AF">
        <w:trPr>
          <w:trHeight w:val="247"/>
        </w:trPr>
        <w:tc>
          <w:tcPr>
            <w:tcW w:w="0" w:type="auto"/>
            <w:vAlign w:val="center"/>
          </w:tcPr>
          <w:p w:rsidR="002665AF" w:rsidRPr="00F00EFF" w:rsidRDefault="002665AF" w:rsidP="00E31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06/03/2018</w:t>
            </w:r>
          </w:p>
        </w:tc>
        <w:tc>
          <w:tcPr>
            <w:tcW w:w="0" w:type="auto"/>
            <w:vAlign w:val="center"/>
          </w:tcPr>
          <w:p w:rsidR="002665AF" w:rsidRPr="00F00EFF" w:rsidRDefault="002665AF" w:rsidP="00E31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Carl Ibbitson</w:t>
            </w:r>
          </w:p>
        </w:tc>
        <w:tc>
          <w:tcPr>
            <w:tcW w:w="0" w:type="auto"/>
            <w:vAlign w:val="center"/>
          </w:tcPr>
          <w:p w:rsidR="00B365F7" w:rsidRPr="00F00EFF" w:rsidRDefault="002665AF" w:rsidP="00B912E5">
            <w:pPr>
              <w:rPr>
                <w:rFonts w:ascii="Arial" w:hAnsi="Arial" w:cs="Arial"/>
              </w:rPr>
            </w:pPr>
            <w:r w:rsidRPr="002665AF">
              <w:rPr>
                <w:rFonts w:ascii="Arial" w:hAnsi="Arial" w:cs="Arial"/>
              </w:rPr>
              <w:t xml:space="preserve">Version control </w:t>
            </w:r>
            <w:r w:rsidR="00B365F7">
              <w:rPr>
                <w:rFonts w:ascii="Arial" w:hAnsi="Arial" w:cs="Arial"/>
              </w:rPr>
              <w:t>and applicability added</w:t>
            </w:r>
          </w:p>
        </w:tc>
        <w:tc>
          <w:tcPr>
            <w:tcW w:w="4303" w:type="dxa"/>
            <w:vAlign w:val="center"/>
          </w:tcPr>
          <w:p w:rsidR="002665AF" w:rsidRPr="00F00EFF" w:rsidRDefault="002665AF" w:rsidP="00E31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B365F7" w:rsidRPr="00F00EFF" w:rsidTr="002665AF">
        <w:trPr>
          <w:trHeight w:val="269"/>
        </w:trPr>
        <w:tc>
          <w:tcPr>
            <w:tcW w:w="0" w:type="auto"/>
            <w:vAlign w:val="center"/>
          </w:tcPr>
          <w:p w:rsidR="002665AF" w:rsidRPr="00F00EFF" w:rsidRDefault="00B912E5" w:rsidP="00E31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22/10/18</w:t>
            </w:r>
          </w:p>
        </w:tc>
        <w:tc>
          <w:tcPr>
            <w:tcW w:w="0" w:type="auto"/>
            <w:vAlign w:val="center"/>
          </w:tcPr>
          <w:p w:rsidR="002665AF" w:rsidRPr="00F00EFF" w:rsidRDefault="00B912E5" w:rsidP="00E31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Andrew Wall</w:t>
            </w:r>
          </w:p>
        </w:tc>
        <w:tc>
          <w:tcPr>
            <w:tcW w:w="0" w:type="auto"/>
            <w:vAlign w:val="center"/>
          </w:tcPr>
          <w:p w:rsidR="00B912E5" w:rsidRPr="00F00EFF" w:rsidRDefault="00B912E5" w:rsidP="00B912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Removal of references to Rolls-Royce</w:t>
            </w:r>
          </w:p>
        </w:tc>
        <w:tc>
          <w:tcPr>
            <w:tcW w:w="4303" w:type="dxa"/>
            <w:vAlign w:val="center"/>
          </w:tcPr>
          <w:p w:rsidR="002665AF" w:rsidRPr="00F00EFF" w:rsidRDefault="00B912E5" w:rsidP="00E31B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B365F7" w:rsidRPr="00F00EFF" w:rsidTr="002665AF">
        <w:trPr>
          <w:trHeight w:val="247"/>
        </w:trPr>
        <w:tc>
          <w:tcPr>
            <w:tcW w:w="0" w:type="auto"/>
            <w:vAlign w:val="center"/>
          </w:tcPr>
          <w:p w:rsidR="002665AF" w:rsidRPr="00F00EFF" w:rsidRDefault="002665AF" w:rsidP="00E31B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665AF" w:rsidRPr="00F00EFF" w:rsidRDefault="002665AF" w:rsidP="00E31B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665AF" w:rsidRPr="00F00EFF" w:rsidRDefault="002665AF" w:rsidP="00E31B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3" w:type="dxa"/>
            <w:vAlign w:val="center"/>
          </w:tcPr>
          <w:p w:rsidR="002665AF" w:rsidRPr="00F00EFF" w:rsidRDefault="002665AF" w:rsidP="00E31B1B">
            <w:pPr>
              <w:jc w:val="center"/>
              <w:rPr>
                <w:rFonts w:ascii="Arial" w:hAnsi="Arial" w:cs="Arial"/>
              </w:rPr>
            </w:pPr>
          </w:p>
        </w:tc>
      </w:tr>
      <w:tr w:rsidR="00B365F7" w:rsidRPr="00F00EFF" w:rsidTr="002665AF">
        <w:trPr>
          <w:trHeight w:val="269"/>
        </w:trPr>
        <w:tc>
          <w:tcPr>
            <w:tcW w:w="0" w:type="auto"/>
            <w:vAlign w:val="center"/>
          </w:tcPr>
          <w:p w:rsidR="002665AF" w:rsidRPr="00F00EFF" w:rsidRDefault="002665AF" w:rsidP="00E31B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665AF" w:rsidRPr="00F00EFF" w:rsidRDefault="002665AF" w:rsidP="00E31B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2665AF" w:rsidRPr="00F00EFF" w:rsidRDefault="002665AF" w:rsidP="00E31B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03" w:type="dxa"/>
            <w:vAlign w:val="center"/>
          </w:tcPr>
          <w:p w:rsidR="002665AF" w:rsidRPr="00F00EFF" w:rsidRDefault="002665AF" w:rsidP="00E31B1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44FB0" w:rsidRDefault="00C44FB0" w:rsidP="00C44FB0"/>
    <w:sectPr w:rsidR="00C44F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D7015"/>
    <w:multiLevelType w:val="multilevel"/>
    <w:tmpl w:val="C7E0762E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2"/>
        </w:tabs>
        <w:ind w:left="124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64"/>
        </w:tabs>
        <w:ind w:left="17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86"/>
        </w:tabs>
        <w:ind w:left="22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68"/>
        </w:tabs>
        <w:ind w:left="31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72"/>
        </w:tabs>
        <w:ind w:left="45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94"/>
        </w:tabs>
        <w:ind w:left="50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800"/>
      </w:pPr>
      <w:rPr>
        <w:rFonts w:hint="default"/>
      </w:rPr>
    </w:lvl>
  </w:abstractNum>
  <w:abstractNum w:abstractNumId="1" w15:restartNumberingAfterBreak="0">
    <w:nsid w:val="34CD4BAF"/>
    <w:multiLevelType w:val="hybridMultilevel"/>
    <w:tmpl w:val="99BC3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FB0"/>
    <w:rsid w:val="001B6776"/>
    <w:rsid w:val="001C218C"/>
    <w:rsid w:val="002665AF"/>
    <w:rsid w:val="00327C64"/>
    <w:rsid w:val="00591EE5"/>
    <w:rsid w:val="00B365F7"/>
    <w:rsid w:val="00B912E5"/>
    <w:rsid w:val="00C4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103DA5-9A48-4955-843A-9C46C12B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ac Heading 1"/>
    <w:basedOn w:val="Normal"/>
    <w:next w:val="Normal"/>
    <w:link w:val="Heading1Char"/>
    <w:qFormat/>
    <w:rsid w:val="00C44F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2665AF"/>
    <w:pPr>
      <w:keepNext/>
      <w:spacing w:after="0" w:line="360" w:lineRule="auto"/>
      <w:outlineLvl w:val="3"/>
    </w:pPr>
    <w:rPr>
      <w:rFonts w:ascii="Tahoma" w:eastAsia="Times New Roman" w:hAnsi="Tahoma" w:cs="Times New Roman"/>
      <w:b/>
      <w:snapToGrid w:val="0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4F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44F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4F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aliases w:val="ac Heading 1 Char"/>
    <w:basedOn w:val="DefaultParagraphFont"/>
    <w:link w:val="Heading1"/>
    <w:uiPriority w:val="9"/>
    <w:rsid w:val="00C44F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2665AF"/>
    <w:rPr>
      <w:rFonts w:ascii="Tahoma" w:eastAsia="Times New Roman" w:hAnsi="Tahoma" w:cs="Times New Roman"/>
      <w:b/>
      <w:snapToGrid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9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Rolls-Royce Plc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Ibbitson</dc:creator>
  <cp:lastModifiedBy>Andrew Wall</cp:lastModifiedBy>
  <cp:revision>2</cp:revision>
  <dcterms:created xsi:type="dcterms:W3CDTF">2018-10-23T14:24:00Z</dcterms:created>
  <dcterms:modified xsi:type="dcterms:W3CDTF">2018-10-23T14:24:00Z</dcterms:modified>
</cp:coreProperties>
</file>